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河套学院2016届-2017届毕业生夏季双选会邀请函</w:t>
      </w:r>
    </w:p>
    <w:p>
      <w:pPr>
        <w:ind w:firstLine="420" w:firstLineChars="200"/>
        <w:rPr>
          <w:rFonts w:hint="eastAsia" w:ascii="仿宋_GB2312" w:eastAsia="仿宋_GB2312"/>
          <w:szCs w:val="21"/>
        </w:rPr>
      </w:pPr>
    </w:p>
    <w:p>
      <w:pPr>
        <w:ind w:firstLine="420" w:firstLineChars="200"/>
        <w:rPr>
          <w:rFonts w:hint="eastAsia" w:ascii="仿宋_GB2312" w:eastAsia="仿宋_GB2312"/>
          <w:szCs w:val="21"/>
        </w:rPr>
      </w:pPr>
      <w:r>
        <w:rPr>
          <w:rFonts w:hint="eastAsia" w:ascii="仿宋_GB2312" w:eastAsia="仿宋_GB2312"/>
          <w:szCs w:val="21"/>
        </w:rPr>
        <w:t>为了进一步做好2016届和2017届毕业生就业工作，我院与巴彦淖尔市人社局、就业局、市工会、市团委、市工商局个体私营企业协会共同举办2016届和2017届毕业生夏季双选洽谈会，特邀请贵单位前来我院选聘毕业生。具体事宜如下：</w:t>
      </w:r>
    </w:p>
    <w:p>
      <w:pPr>
        <w:ind w:firstLine="420" w:firstLineChars="200"/>
        <w:rPr>
          <w:rFonts w:hint="eastAsia" w:ascii="仿宋_GB2312" w:eastAsia="仿宋_GB2312"/>
          <w:szCs w:val="21"/>
        </w:rPr>
      </w:pPr>
      <w:r>
        <w:rPr>
          <w:rFonts w:hint="eastAsia" w:ascii="仿宋_GB2312" w:eastAsia="仿宋_GB2312"/>
          <w:szCs w:val="21"/>
        </w:rPr>
        <w:t>一、会议报到时间及地点：2016年6月24日全天；</w:t>
      </w:r>
    </w:p>
    <w:p>
      <w:pPr>
        <w:ind w:firstLine="420" w:firstLineChars="200"/>
        <w:rPr>
          <w:rFonts w:hint="eastAsia" w:ascii="仿宋_GB2312" w:eastAsia="仿宋_GB2312"/>
          <w:szCs w:val="21"/>
        </w:rPr>
      </w:pPr>
      <w:r>
        <w:rPr>
          <w:rFonts w:hint="eastAsia" w:ascii="仿宋_GB2312" w:eastAsia="仿宋_GB2312"/>
          <w:szCs w:val="21"/>
        </w:rPr>
        <w:t>1.需要住宿的参会代表，建议入住蓝宇国际酒店（费用自理）；</w:t>
      </w:r>
    </w:p>
    <w:p>
      <w:pPr>
        <w:ind w:firstLine="420" w:firstLineChars="200"/>
        <w:rPr>
          <w:rFonts w:hint="eastAsia" w:ascii="仿宋_GB2312" w:eastAsia="仿宋_GB2312"/>
          <w:szCs w:val="21"/>
        </w:rPr>
      </w:pPr>
      <w:r>
        <w:rPr>
          <w:rFonts w:hint="eastAsia" w:ascii="仿宋_GB2312" w:eastAsia="仿宋_GB2312"/>
          <w:szCs w:val="21"/>
        </w:rPr>
        <w:t>2.不需要住宿的参会代表请您到河套学院就业指导中心（四号教学楼202）报到。</w:t>
      </w:r>
    </w:p>
    <w:p>
      <w:pPr>
        <w:ind w:firstLine="420" w:firstLineChars="200"/>
        <w:rPr>
          <w:rFonts w:hint="eastAsia" w:ascii="仿宋_GB2312" w:eastAsia="仿宋_GB2312"/>
          <w:szCs w:val="21"/>
        </w:rPr>
      </w:pPr>
      <w:r>
        <w:rPr>
          <w:rFonts w:hint="eastAsia" w:ascii="仿宋_GB2312" w:eastAsia="仿宋_GB2312"/>
          <w:szCs w:val="21"/>
        </w:rPr>
        <w:t>二、会议时间及地点：</w:t>
      </w:r>
    </w:p>
    <w:p>
      <w:pPr>
        <w:ind w:firstLine="420" w:firstLineChars="200"/>
        <w:rPr>
          <w:rFonts w:hint="eastAsia" w:ascii="仿宋_GB2312" w:eastAsia="仿宋_GB2312"/>
          <w:szCs w:val="21"/>
        </w:rPr>
      </w:pPr>
      <w:r>
        <w:rPr>
          <w:rFonts w:hint="eastAsia" w:ascii="仿宋_GB2312" w:eastAsia="仿宋_GB2312"/>
          <w:szCs w:val="21"/>
        </w:rPr>
        <w:t xml:space="preserve">  2016年6月25日全天（早8：00——下午5：00）；河套学院阴山岩画广场。</w:t>
      </w:r>
    </w:p>
    <w:p>
      <w:pPr>
        <w:ind w:firstLine="420" w:firstLineChars="200"/>
        <w:rPr>
          <w:rFonts w:hint="eastAsia" w:ascii="仿宋_GB2312" w:eastAsia="仿宋_GB2312"/>
          <w:szCs w:val="21"/>
        </w:rPr>
      </w:pPr>
      <w:r>
        <w:rPr>
          <w:rFonts w:hint="eastAsia" w:ascii="仿宋_GB2312" w:eastAsia="仿宋_GB2312"/>
          <w:szCs w:val="21"/>
        </w:rPr>
        <w:t>三、招聘会服务：</w:t>
      </w:r>
    </w:p>
    <w:p>
      <w:pPr>
        <w:ind w:firstLine="420" w:firstLineChars="200"/>
        <w:rPr>
          <w:rFonts w:hint="eastAsia" w:ascii="仿宋_GB2312" w:eastAsia="仿宋_GB2312"/>
          <w:szCs w:val="21"/>
        </w:rPr>
      </w:pPr>
      <w:r>
        <w:rPr>
          <w:rFonts w:hint="eastAsia" w:ascii="仿宋_GB2312" w:eastAsia="仿宋_GB2312"/>
          <w:szCs w:val="21"/>
        </w:rPr>
        <w:t>1.会议不收取展位费和会务费，并免费为用人单位参会代表提供工作午餐，每个用人单位安排1个展位，参会代表1-2人。</w:t>
      </w:r>
    </w:p>
    <w:p>
      <w:pPr>
        <w:ind w:firstLine="420" w:firstLineChars="200"/>
        <w:rPr>
          <w:rFonts w:hint="eastAsia" w:ascii="仿宋_GB2312" w:eastAsia="仿宋_GB2312"/>
          <w:szCs w:val="21"/>
        </w:rPr>
      </w:pPr>
      <w:r>
        <w:rPr>
          <w:rFonts w:hint="eastAsia" w:ascii="仿宋_GB2312" w:eastAsia="仿宋_GB2312"/>
          <w:szCs w:val="21"/>
        </w:rPr>
        <w:t>2.参会单位自行准备展会的招聘宣传材料，要求质地轻，易于悬挂的展板或纸质材料，大小不超过3250px*3000px.在6月15日前将单位介绍及招聘需求以电子邮件形式发至河套学院就业指导中心。</w:t>
      </w:r>
    </w:p>
    <w:p>
      <w:pPr>
        <w:ind w:firstLine="420" w:firstLineChars="200"/>
        <w:rPr>
          <w:rFonts w:hint="eastAsia" w:ascii="仿宋_GB2312" w:eastAsia="仿宋_GB2312"/>
          <w:szCs w:val="21"/>
        </w:rPr>
      </w:pPr>
      <w:r>
        <w:rPr>
          <w:rFonts w:hint="eastAsia" w:ascii="仿宋_GB2312" w:eastAsia="仿宋_GB2312"/>
          <w:szCs w:val="21"/>
        </w:rPr>
        <w:t>四、请市外参会代表提前将您到临河的时间、车次或航班等电告我院，以便我们提前安排接站。</w:t>
      </w:r>
    </w:p>
    <w:p>
      <w:pPr>
        <w:ind w:firstLine="420" w:firstLineChars="200"/>
        <w:rPr>
          <w:rFonts w:hint="eastAsia" w:ascii="仿宋_GB2312" w:eastAsia="仿宋_GB2312"/>
          <w:szCs w:val="21"/>
        </w:rPr>
      </w:pPr>
      <w:r>
        <w:rPr>
          <w:rFonts w:hint="eastAsia" w:ascii="仿宋_GB2312" w:eastAsia="仿宋_GB2312"/>
          <w:szCs w:val="21"/>
        </w:rPr>
        <w:t>会议接站人：张喜君13009581585   王英杰18547818527</w:t>
      </w:r>
    </w:p>
    <w:p>
      <w:pPr>
        <w:ind w:firstLine="420" w:firstLineChars="200"/>
        <w:rPr>
          <w:rFonts w:hint="eastAsia" w:ascii="仿宋_GB2312" w:eastAsia="仿宋_GB2312"/>
          <w:szCs w:val="21"/>
        </w:rPr>
      </w:pPr>
      <w:r>
        <w:rPr>
          <w:rFonts w:hint="eastAsia" w:ascii="仿宋_GB2312" w:eastAsia="仿宋_GB2312"/>
          <w:szCs w:val="21"/>
        </w:rPr>
        <w:t>五、会议联系电话及联系人：</w:t>
      </w:r>
    </w:p>
    <w:p>
      <w:pPr>
        <w:ind w:firstLine="420" w:firstLineChars="200"/>
        <w:rPr>
          <w:rFonts w:hint="eastAsia" w:ascii="仿宋_GB2312" w:eastAsia="仿宋_GB2312"/>
          <w:szCs w:val="21"/>
        </w:rPr>
      </w:pPr>
      <w:r>
        <w:rPr>
          <w:rFonts w:hint="eastAsia" w:ascii="仿宋_GB2312" w:eastAsia="仿宋_GB2312"/>
          <w:szCs w:val="21"/>
        </w:rPr>
        <w:t>联系电话：0478-8418170  0478-8413903   传真0478-8416080</w:t>
      </w:r>
    </w:p>
    <w:p>
      <w:pPr>
        <w:ind w:firstLine="420" w:firstLineChars="200"/>
        <w:rPr>
          <w:rFonts w:hint="eastAsia" w:ascii="仿宋_GB2312" w:eastAsia="仿宋_GB2312"/>
          <w:szCs w:val="21"/>
        </w:rPr>
      </w:pPr>
      <w:r>
        <w:rPr>
          <w:rFonts w:hint="eastAsia" w:ascii="仿宋_GB2312" w:eastAsia="仿宋_GB2312"/>
          <w:szCs w:val="21"/>
        </w:rPr>
        <w:t>联系人：张  惠15047299988  魏玉曦18647892281</w:t>
      </w:r>
    </w:p>
    <w:p>
      <w:pPr>
        <w:ind w:firstLine="420" w:firstLineChars="200"/>
        <w:rPr>
          <w:rFonts w:hint="eastAsia" w:ascii="仿宋_GB2312" w:eastAsia="仿宋_GB2312"/>
          <w:szCs w:val="21"/>
        </w:rPr>
      </w:pPr>
      <w:r>
        <w:rPr>
          <w:rFonts w:hint="eastAsia" w:ascii="仿宋_GB2312" w:eastAsia="仿宋_GB2312"/>
          <w:szCs w:val="21"/>
        </w:rPr>
        <w:t xml:space="preserve">        杨建东 13754086689  潘  敏13848688325</w:t>
      </w:r>
    </w:p>
    <w:p>
      <w:pPr>
        <w:numPr>
          <w:ilvl w:val="0"/>
          <w:numId w:val="1"/>
        </w:numPr>
        <w:ind w:firstLine="420" w:firstLineChars="200"/>
        <w:rPr>
          <w:rFonts w:hint="eastAsia" w:ascii="仿宋_GB2312" w:eastAsia="仿宋_GB2312"/>
          <w:szCs w:val="21"/>
        </w:rPr>
      </w:pPr>
      <w:r>
        <w:rPr>
          <w:rFonts w:hint="eastAsia" w:ascii="仿宋_GB2312" w:eastAsia="仿宋_GB2312"/>
          <w:szCs w:val="21"/>
        </w:rPr>
        <w:t>参会毕业生：</w:t>
      </w:r>
    </w:p>
    <w:p>
      <w:pPr>
        <w:ind w:left="420" w:leftChars="200" w:firstLine="420" w:firstLineChars="200"/>
        <w:rPr>
          <w:rFonts w:hint="eastAsia" w:ascii="仿宋_GB2312" w:eastAsia="仿宋_GB2312"/>
          <w:szCs w:val="21"/>
        </w:rPr>
      </w:pPr>
      <w:r>
        <w:rPr>
          <w:rFonts w:hint="eastAsia" w:ascii="仿宋_GB2312" w:eastAsia="仿宋_GB2312"/>
          <w:szCs w:val="21"/>
        </w:rPr>
        <w:t>河套学院2016届和2017届毕业生及其他高校部分毕业生。</w:t>
      </w:r>
    </w:p>
    <w:p>
      <w:pPr>
        <w:ind w:firstLine="420" w:firstLineChars="200"/>
        <w:rPr>
          <w:rFonts w:hint="eastAsia" w:ascii="仿宋_GB2312" w:eastAsia="仿宋_GB2312"/>
          <w:szCs w:val="21"/>
        </w:rPr>
      </w:pPr>
      <w:r>
        <w:rPr>
          <w:rFonts w:hint="eastAsia" w:ascii="仿宋_GB2312" w:eastAsia="仿宋_GB2312"/>
          <w:szCs w:val="21"/>
        </w:rPr>
        <w:t>七、报名方式：</w:t>
      </w:r>
    </w:p>
    <w:p>
      <w:pPr>
        <w:ind w:firstLine="420" w:firstLineChars="200"/>
        <w:rPr>
          <w:rFonts w:hint="eastAsia" w:ascii="仿宋_GB2312" w:eastAsia="仿宋_GB2312"/>
          <w:szCs w:val="21"/>
        </w:rPr>
      </w:pPr>
      <w:r>
        <w:rPr>
          <w:rFonts w:hint="eastAsia" w:ascii="仿宋_GB2312" w:eastAsia="仿宋_GB2312"/>
          <w:szCs w:val="21"/>
        </w:rPr>
        <w:t>请各参会单位将《河套学院2016届2017届毕业生夏季双选洽谈会回执单》加盖单位公章于6月15日前发送传真至0478-8416080或邮件至905334649@qq.com；参会单位也可电话告知我们。以便我们提前布置展位并打座签。</w:t>
      </w:r>
    </w:p>
    <w:p>
      <w:pPr>
        <w:ind w:firstLine="420" w:firstLineChars="200"/>
        <w:rPr>
          <w:rFonts w:hint="eastAsia" w:ascii="仿宋_GB2312" w:eastAsia="仿宋_GB2312"/>
          <w:szCs w:val="21"/>
        </w:rPr>
      </w:pPr>
      <w:r>
        <w:rPr>
          <w:rFonts w:hint="eastAsia" w:ascii="仿宋_GB2312" w:eastAsia="仿宋_GB2312"/>
          <w:szCs w:val="21"/>
        </w:rPr>
        <w:t xml:space="preserve">                                                 河套学院就业指导中心</w:t>
      </w:r>
    </w:p>
    <w:p>
      <w:pPr>
        <w:ind w:firstLine="420" w:firstLineChars="200"/>
        <w:rPr>
          <w:rFonts w:hint="eastAsia" w:ascii="仿宋_GB2312" w:eastAsia="仿宋_GB2312"/>
          <w:szCs w:val="21"/>
        </w:rPr>
      </w:pPr>
      <w:r>
        <w:rPr>
          <w:rFonts w:hint="eastAsia" w:ascii="仿宋_GB2312" w:eastAsia="仿宋_GB2312"/>
          <w:szCs w:val="21"/>
        </w:rPr>
        <w:t xml:space="preserve">                                                   2016年6月1日</w:t>
      </w:r>
    </w:p>
    <w:p>
      <w:pPr>
        <w:rPr>
          <w:rFonts w:hint="eastAsia"/>
          <w:sz w:val="24"/>
        </w:rPr>
      </w:pPr>
      <w:r>
        <w:rPr>
          <w:rFonts w:hint="eastAsia"/>
          <w:sz w:val="24"/>
        </w:rPr>
        <w:t>-------------------------------------------------------------------------------------------------------</w:t>
      </w:r>
    </w:p>
    <w:p>
      <w:pPr>
        <w:ind w:firstLine="720" w:firstLineChars="300"/>
        <w:rPr>
          <w:rFonts w:hint="eastAsia"/>
          <w:sz w:val="24"/>
        </w:rPr>
      </w:pPr>
      <w:r>
        <w:rPr>
          <w:rFonts w:hint="eastAsia"/>
          <w:sz w:val="24"/>
        </w:rPr>
        <w:t>河套学院2016届-2017届毕业生夏季双选洽谈会参会回执单</w:t>
      </w:r>
    </w:p>
    <w:tbl>
      <w:tblPr>
        <w:tblStyle w:val="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80"/>
        <w:gridCol w:w="720"/>
        <w:gridCol w:w="720"/>
        <w:gridCol w:w="1080"/>
        <w:gridCol w:w="18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8568" w:type="dxa"/>
            <w:gridSpan w:val="8"/>
            <w:vAlign w:val="top"/>
          </w:tcPr>
          <w:p>
            <w:pPr>
              <w:rPr>
                <w:rFonts w:hint="eastAsia"/>
                <w:szCs w:val="21"/>
              </w:rPr>
            </w:pPr>
            <w:r>
              <w:rPr>
                <w:rFonts w:hint="eastAsia"/>
                <w:szCs w:val="21"/>
              </w:rPr>
              <w:t>单位名称（公章）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ind w:left="5250"/>
              <w:rPr>
                <w:rFonts w:hint="eastAsia"/>
                <w:szCs w:val="21"/>
              </w:rPr>
            </w:pPr>
          </w:p>
        </w:tc>
        <w:tc>
          <w:tcPr>
            <w:tcW w:w="1260" w:type="dxa"/>
            <w:gridSpan w:val="2"/>
            <w:vAlign w:val="top"/>
          </w:tcPr>
          <w:p>
            <w:pPr>
              <w:ind w:left="5250"/>
              <w:rPr>
                <w:rFonts w:hint="eastAsia"/>
                <w:szCs w:val="21"/>
              </w:rPr>
            </w:pPr>
          </w:p>
        </w:tc>
        <w:tc>
          <w:tcPr>
            <w:tcW w:w="720" w:type="dxa"/>
            <w:vAlign w:val="top"/>
          </w:tcPr>
          <w:p>
            <w:pPr>
              <w:ind w:left="5250"/>
              <w:rPr>
                <w:rFonts w:hint="eastAsia"/>
                <w:szCs w:val="21"/>
              </w:rPr>
            </w:pPr>
          </w:p>
        </w:tc>
        <w:tc>
          <w:tcPr>
            <w:tcW w:w="720" w:type="dxa"/>
            <w:vAlign w:val="top"/>
          </w:tcPr>
          <w:p>
            <w:pPr>
              <w:ind w:left="5250"/>
              <w:rPr>
                <w:rFonts w:hint="eastAsia"/>
                <w:szCs w:val="21"/>
              </w:rPr>
            </w:pPr>
          </w:p>
        </w:tc>
        <w:tc>
          <w:tcPr>
            <w:tcW w:w="1080" w:type="dxa"/>
            <w:vAlign w:val="top"/>
          </w:tcPr>
          <w:p>
            <w:pPr>
              <w:ind w:left="5250"/>
              <w:rPr>
                <w:rFonts w:hint="eastAsia"/>
                <w:szCs w:val="21"/>
              </w:rPr>
            </w:pPr>
          </w:p>
        </w:tc>
        <w:tc>
          <w:tcPr>
            <w:tcW w:w="1800" w:type="dxa"/>
            <w:vAlign w:val="top"/>
          </w:tcPr>
          <w:p>
            <w:pPr>
              <w:ind w:left="5250"/>
              <w:rPr>
                <w:rFonts w:hint="eastAsia"/>
                <w:szCs w:val="21"/>
              </w:rPr>
            </w:pPr>
          </w:p>
        </w:tc>
        <w:tc>
          <w:tcPr>
            <w:tcW w:w="1980" w:type="dxa"/>
            <w:vAlign w:val="top"/>
          </w:tcPr>
          <w:p>
            <w:pPr>
              <w:ind w:left="5250"/>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ind w:left="5250"/>
              <w:rPr>
                <w:rFonts w:hint="eastAsia"/>
                <w:szCs w:val="21"/>
              </w:rPr>
            </w:pPr>
          </w:p>
        </w:tc>
        <w:tc>
          <w:tcPr>
            <w:tcW w:w="1260" w:type="dxa"/>
            <w:gridSpan w:val="2"/>
            <w:vAlign w:val="top"/>
          </w:tcPr>
          <w:p>
            <w:pPr>
              <w:ind w:left="5250"/>
              <w:rPr>
                <w:rFonts w:hint="eastAsia"/>
                <w:szCs w:val="21"/>
              </w:rPr>
            </w:pPr>
          </w:p>
        </w:tc>
        <w:tc>
          <w:tcPr>
            <w:tcW w:w="720" w:type="dxa"/>
            <w:vAlign w:val="top"/>
          </w:tcPr>
          <w:p>
            <w:pPr>
              <w:ind w:left="5250"/>
              <w:rPr>
                <w:rFonts w:hint="eastAsia"/>
                <w:szCs w:val="21"/>
              </w:rPr>
            </w:pPr>
          </w:p>
        </w:tc>
        <w:tc>
          <w:tcPr>
            <w:tcW w:w="720" w:type="dxa"/>
            <w:vAlign w:val="top"/>
          </w:tcPr>
          <w:p>
            <w:pPr>
              <w:ind w:left="5250"/>
              <w:rPr>
                <w:rFonts w:hint="eastAsia"/>
                <w:szCs w:val="21"/>
              </w:rPr>
            </w:pPr>
          </w:p>
        </w:tc>
        <w:tc>
          <w:tcPr>
            <w:tcW w:w="1080" w:type="dxa"/>
            <w:vAlign w:val="top"/>
          </w:tcPr>
          <w:p>
            <w:pPr>
              <w:ind w:left="5250"/>
              <w:rPr>
                <w:rFonts w:hint="eastAsia"/>
                <w:szCs w:val="21"/>
              </w:rPr>
            </w:pPr>
          </w:p>
        </w:tc>
        <w:tc>
          <w:tcPr>
            <w:tcW w:w="1800" w:type="dxa"/>
            <w:vAlign w:val="top"/>
          </w:tcPr>
          <w:p>
            <w:pPr>
              <w:ind w:left="5250"/>
              <w:rPr>
                <w:rFonts w:hint="eastAsia"/>
                <w:szCs w:val="21"/>
              </w:rPr>
            </w:pPr>
          </w:p>
        </w:tc>
        <w:tc>
          <w:tcPr>
            <w:tcW w:w="1980" w:type="dxa"/>
            <w:vAlign w:val="top"/>
          </w:tcPr>
          <w:p>
            <w:pPr>
              <w:ind w:left="5250"/>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8" w:type="dxa"/>
            <w:gridSpan w:val="8"/>
            <w:vAlign w:val="top"/>
          </w:tcPr>
          <w:p>
            <w:pPr>
              <w:rPr>
                <w:rFonts w:hint="eastAsia"/>
                <w:szCs w:val="21"/>
              </w:rPr>
            </w:pPr>
            <w:r>
              <w:rPr>
                <w:rFonts w:hint="eastAsia"/>
                <w:szCs w:val="21"/>
              </w:rPr>
              <w:t>招聘需求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ind w:left="5250"/>
              <w:rPr>
                <w:rFonts w:hint="eastAsia"/>
                <w:szCs w:val="21"/>
              </w:rPr>
            </w:pPr>
          </w:p>
        </w:tc>
        <w:tc>
          <w:tcPr>
            <w:tcW w:w="1080" w:type="dxa"/>
            <w:vAlign w:val="top"/>
          </w:tcPr>
          <w:p>
            <w:pPr>
              <w:ind w:left="5250"/>
              <w:rPr>
                <w:rFonts w:hint="eastAsia"/>
                <w:szCs w:val="21"/>
              </w:rPr>
            </w:pPr>
          </w:p>
        </w:tc>
        <w:tc>
          <w:tcPr>
            <w:tcW w:w="6480" w:type="dxa"/>
            <w:gridSpan w:val="6"/>
            <w:vAlign w:val="top"/>
          </w:tcPr>
          <w:p>
            <w:pPr>
              <w:ind w:left="5250"/>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ind w:left="5250"/>
              <w:rPr>
                <w:rFonts w:hint="eastAsia"/>
                <w:szCs w:val="21"/>
              </w:rPr>
            </w:pPr>
          </w:p>
        </w:tc>
        <w:tc>
          <w:tcPr>
            <w:tcW w:w="1080" w:type="dxa"/>
            <w:vAlign w:val="top"/>
          </w:tcPr>
          <w:p>
            <w:pPr>
              <w:ind w:left="5250"/>
              <w:rPr>
                <w:rFonts w:hint="eastAsia"/>
                <w:szCs w:val="21"/>
              </w:rPr>
            </w:pPr>
          </w:p>
        </w:tc>
        <w:tc>
          <w:tcPr>
            <w:tcW w:w="6480" w:type="dxa"/>
            <w:gridSpan w:val="6"/>
            <w:vAlign w:val="top"/>
          </w:tcPr>
          <w:p>
            <w:pPr>
              <w:ind w:left="5250"/>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ind w:left="5250"/>
              <w:rPr>
                <w:rFonts w:hint="eastAsia"/>
                <w:szCs w:val="21"/>
              </w:rPr>
            </w:pPr>
          </w:p>
        </w:tc>
        <w:tc>
          <w:tcPr>
            <w:tcW w:w="1080" w:type="dxa"/>
            <w:vAlign w:val="top"/>
          </w:tcPr>
          <w:p>
            <w:pPr>
              <w:ind w:left="5250"/>
              <w:rPr>
                <w:rFonts w:hint="eastAsia"/>
                <w:szCs w:val="21"/>
              </w:rPr>
            </w:pPr>
          </w:p>
        </w:tc>
        <w:tc>
          <w:tcPr>
            <w:tcW w:w="6480" w:type="dxa"/>
            <w:gridSpan w:val="6"/>
            <w:vAlign w:val="top"/>
          </w:tcPr>
          <w:p>
            <w:pPr>
              <w:ind w:left="5250"/>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008" w:type="dxa"/>
            <w:vAlign w:val="top"/>
          </w:tcPr>
          <w:p>
            <w:pPr>
              <w:ind w:left="5250"/>
              <w:rPr>
                <w:rFonts w:hint="eastAsia"/>
                <w:sz w:val="24"/>
              </w:rPr>
            </w:pPr>
          </w:p>
        </w:tc>
        <w:tc>
          <w:tcPr>
            <w:tcW w:w="1080" w:type="dxa"/>
            <w:vAlign w:val="top"/>
          </w:tcPr>
          <w:p>
            <w:pPr>
              <w:ind w:left="5250"/>
              <w:rPr>
                <w:rFonts w:hint="eastAsia"/>
                <w:sz w:val="24"/>
              </w:rPr>
            </w:pPr>
          </w:p>
        </w:tc>
        <w:tc>
          <w:tcPr>
            <w:tcW w:w="6480" w:type="dxa"/>
            <w:gridSpan w:val="6"/>
            <w:vAlign w:val="top"/>
          </w:tcPr>
          <w:p>
            <w:pPr>
              <w:ind w:left="5250"/>
              <w:rPr>
                <w:rFonts w:hint="eastAsia"/>
                <w:sz w:val="24"/>
              </w:rPr>
            </w:pPr>
          </w:p>
        </w:tc>
      </w:tr>
    </w:tbl>
    <w:p>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E50F8"/>
    <w:multiLevelType w:val="singleLevel"/>
    <w:tmpl w:val="574E50F8"/>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F766E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trnliziyuan</dc:creator>
  <cp:lastModifiedBy>trnliziyuan</cp:lastModifiedBy>
  <dcterms:modified xsi:type="dcterms:W3CDTF">2016-06-14T02:21:01Z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